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BB98" w14:textId="07DAD863" w:rsidR="00535C57" w:rsidRPr="00535C57" w:rsidRDefault="00535C57" w:rsidP="00535C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0" w:name="_GoBack"/>
      <w:r w:rsidRPr="00AC7902">
        <w:rPr>
          <w:rFonts w:ascii="Times New Roman" w:hAnsi="Times New Roman" w:cs="Times New Roman"/>
          <w:b/>
          <w:bCs/>
        </w:rPr>
        <w:t>Лек</w:t>
      </w:r>
      <w:r w:rsidR="00CE0431">
        <w:rPr>
          <w:rFonts w:ascii="Times New Roman" w:hAnsi="Times New Roman" w:cs="Times New Roman"/>
          <w:b/>
          <w:bCs/>
          <w:lang w:val="kk-KZ"/>
        </w:rPr>
        <w:t>ция</w:t>
      </w:r>
      <w:r w:rsidRPr="00AC7902">
        <w:rPr>
          <w:rFonts w:ascii="Times New Roman" w:hAnsi="Times New Roman" w:cs="Times New Roman"/>
          <w:b/>
          <w:bCs/>
        </w:rPr>
        <w:t xml:space="preserve"> </w:t>
      </w:r>
      <w:r w:rsidRPr="00724423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  <w:lang w:val="kk-KZ"/>
        </w:rPr>
        <w:t>Моделирование механических процессов</w:t>
      </w:r>
    </w:p>
    <w:bookmarkEnd w:id="0"/>
    <w:p w14:paraId="66C4A57C" w14:textId="77777777" w:rsidR="00535C57" w:rsidRDefault="00535C57" w:rsidP="00535C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FC1A6CE" w14:textId="2A0376E8" w:rsidR="00BF3918" w:rsidRPr="00724423" w:rsidRDefault="00535C57" w:rsidP="00535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C7902">
        <w:rPr>
          <w:rFonts w:ascii="Times New Roman" w:hAnsi="Times New Roman" w:cs="Times New Roman"/>
          <w:b/>
          <w:bCs/>
        </w:rPr>
        <w:t>Цель лекции</w:t>
      </w:r>
    </w:p>
    <w:p w14:paraId="328D0426" w14:textId="0DE5F38D" w:rsidR="00535C57" w:rsidRPr="00724423" w:rsidRDefault="00535C57" w:rsidP="00535C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И</w:t>
      </w:r>
      <w:r w:rsidRPr="00535C57">
        <w:rPr>
          <w:rFonts w:ascii="Times New Roman" w:hAnsi="Times New Roman" w:cs="Times New Roman"/>
        </w:rPr>
        <w:t>зучить принципы и методы моделирования механических процессов. Рассмотреть применение математических моделей для анализа, оптимизации и прогнозирования работы технических систем.</w:t>
      </w:r>
    </w:p>
    <w:p w14:paraId="0899DC05" w14:textId="77777777" w:rsidR="00535C57" w:rsidRPr="00724423" w:rsidRDefault="00535C57" w:rsidP="00535C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B236D5" w14:textId="4A576B57" w:rsidR="00535C57" w:rsidRDefault="00535C57" w:rsidP="00535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Содержание</w:t>
      </w:r>
    </w:p>
    <w:p w14:paraId="102F42BB" w14:textId="3744C071" w:rsidR="00535C57" w:rsidRPr="00535C57" w:rsidRDefault="00535C57" w:rsidP="00535C57">
      <w:pPr>
        <w:tabs>
          <w:tab w:val="left" w:pos="1140"/>
        </w:tabs>
        <w:contextualSpacing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>4.1 Понятие моделирования и его роль в изучении механических процессов.</w:t>
      </w:r>
    </w:p>
    <w:p w14:paraId="001FBCB4" w14:textId="5974ADD0" w:rsidR="00535C57" w:rsidRPr="00535C57" w:rsidRDefault="00535C57" w:rsidP="00535C57">
      <w:pPr>
        <w:tabs>
          <w:tab w:val="left" w:pos="1140"/>
        </w:tabs>
        <w:contextualSpacing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>4.2 Математические модели: уравнения движения, законы сохранения и приближения.</w:t>
      </w:r>
    </w:p>
    <w:p w14:paraId="5C9704C7" w14:textId="134E865F" w:rsidR="00535C57" w:rsidRPr="00535C57" w:rsidRDefault="00535C57" w:rsidP="00535C57">
      <w:pPr>
        <w:tabs>
          <w:tab w:val="left" w:pos="1140"/>
        </w:tabs>
        <w:contextualSpacing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>4.3 Методы анализа и компьютерное моделирование механических систем.</w:t>
      </w:r>
    </w:p>
    <w:p w14:paraId="2BABD7CA" w14:textId="77777777" w:rsidR="00535C57" w:rsidRPr="00724423" w:rsidRDefault="00535C57" w:rsidP="00535C57">
      <w:pPr>
        <w:tabs>
          <w:tab w:val="left" w:pos="1140"/>
        </w:tabs>
        <w:ind w:firstLine="567"/>
        <w:contextualSpacing/>
        <w:rPr>
          <w:rFonts w:ascii="Times New Roman" w:hAnsi="Times New Roman" w:cs="Times New Roman"/>
        </w:rPr>
      </w:pPr>
    </w:p>
    <w:p w14:paraId="6D37B9F6" w14:textId="77777777" w:rsidR="00535C57" w:rsidRPr="00724423" w:rsidRDefault="00535C57" w:rsidP="00535C57">
      <w:pPr>
        <w:tabs>
          <w:tab w:val="left" w:pos="1140"/>
        </w:tabs>
        <w:ind w:firstLine="567"/>
        <w:contextualSpacing/>
        <w:rPr>
          <w:rFonts w:ascii="Times New Roman" w:hAnsi="Times New Roman" w:cs="Times New Roman"/>
        </w:rPr>
      </w:pPr>
    </w:p>
    <w:p w14:paraId="3879D054" w14:textId="7A8220F8" w:rsidR="00535C57" w:rsidRPr="00724423" w:rsidRDefault="00535C57" w:rsidP="00535C57">
      <w:pPr>
        <w:tabs>
          <w:tab w:val="left" w:pos="1140"/>
        </w:tabs>
        <w:ind w:firstLine="567"/>
        <w:contextualSpacing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 xml:space="preserve">4.1 </w:t>
      </w:r>
      <w:r w:rsidRPr="00535C57">
        <w:rPr>
          <w:rFonts w:ascii="Times New Roman" w:hAnsi="Times New Roman" w:cs="Times New Roman"/>
          <w:b/>
          <w:bCs/>
        </w:rPr>
        <w:t>Понятие моделирования и его роль в изучении механических процессов</w:t>
      </w:r>
      <w:r w:rsidRPr="00535C57">
        <w:rPr>
          <w:rFonts w:ascii="Times New Roman" w:hAnsi="Times New Roman" w:cs="Times New Roman"/>
        </w:rPr>
        <w:t>.</w:t>
      </w:r>
    </w:p>
    <w:p w14:paraId="2E2A69D3" w14:textId="77777777" w:rsidR="00535C57" w:rsidRPr="00724423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 xml:space="preserve">Механические процессы описываются законами механики твердых тел. Эти процессы применяются в основном для подготовки исходных твердых материалов и обработки конечных твердых продуктов, а также для транспортирования кусковых и сыпучих материалов. К механиче ским процессам относятся измельчение, транспортирование, сортиров ка (классификация) и смешение твердых веществ. </w:t>
      </w:r>
    </w:p>
    <w:p w14:paraId="75F7C9D6" w14:textId="77777777" w:rsidR="00535C57" w:rsidRPr="00724423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 xml:space="preserve">Получение математической модели, описывающей механический процесс, рассмотрим на примере моделирования движения материала по вращающемуся диску. </w:t>
      </w:r>
    </w:p>
    <w:p w14:paraId="2F44C80B" w14:textId="77777777" w:rsidR="00535C57" w:rsidRPr="00724423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 xml:space="preserve">Часто эту задачу упрощают до прямолинейного движения под воз действием силы трения и центробежной инерционной силы. На самом деле частицы движутся по некоторой криволинейной траектории. </w:t>
      </w:r>
    </w:p>
    <w:p w14:paraId="2E736246" w14:textId="77777777" w:rsidR="00535C57" w:rsidRPr="00724423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 xml:space="preserve">Для описания движения твердых частиц по вращающемуся диску пригодно уравнение динамики несвободной материальной точки. </w:t>
      </w:r>
    </w:p>
    <w:p w14:paraId="21123B69" w14:textId="7A98892D" w:rsidR="00535C57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535C57">
        <w:rPr>
          <w:rFonts w:ascii="Times New Roman" w:hAnsi="Times New Roman" w:cs="Times New Roman"/>
        </w:rPr>
        <w:t>В качестве активных сил здесь выступают сила тяжести</w:t>
      </w:r>
    </w:p>
    <w:p w14:paraId="48D37264" w14:textId="77777777" w:rsidR="00CE0431" w:rsidRPr="00724423" w:rsidRDefault="00CE0431" w:rsidP="00535C57">
      <w:pPr>
        <w:tabs>
          <w:tab w:val="left" w:pos="1140"/>
        </w:tabs>
        <w:ind w:firstLine="567"/>
        <w:contextualSpacing/>
        <w:jc w:val="both"/>
        <w:rPr>
          <w:rFonts w:ascii="Times New Roman" w:hAnsi="Times New Roman" w:cs="Times New Roman"/>
        </w:rPr>
      </w:pPr>
    </w:p>
    <w:p w14:paraId="2FCF7158" w14:textId="236CF24A" w:rsidR="00535C57" w:rsidRPr="00535C57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G=mg                                                 (4.1)</m:t>
          </m:r>
        </m:oMath>
      </m:oMathPara>
    </w:p>
    <w:p w14:paraId="10002E44" w14:textId="77777777" w:rsidR="00535C57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eastAsiaTheme="minorEastAsia" w:hAnsi="Times New Roman" w:cs="Times New Roman"/>
          <w:lang w:val="kk-KZ"/>
        </w:rPr>
      </w:pPr>
    </w:p>
    <w:p w14:paraId="4D4FE125" w14:textId="26A7D76D" w:rsidR="00535C57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eastAsiaTheme="minorEastAsia" w:hAnsi="Times New Roman" w:cs="Times New Roman"/>
          <w:lang w:val="kk-KZ"/>
        </w:rPr>
      </w:pPr>
      <w:r w:rsidRPr="00535C57">
        <w:rPr>
          <w:rFonts w:ascii="Times New Roman" w:eastAsiaTheme="minorEastAsia" w:hAnsi="Times New Roman" w:cs="Times New Roman"/>
          <w:lang w:val="kk-KZ"/>
        </w:rPr>
        <w:t>и сила трения</w:t>
      </w:r>
    </w:p>
    <w:p w14:paraId="5F2827EC" w14:textId="77777777" w:rsidR="00535C57" w:rsidRDefault="00535C57" w:rsidP="00535C57">
      <w:pPr>
        <w:tabs>
          <w:tab w:val="left" w:pos="1140"/>
        </w:tabs>
        <w:ind w:firstLine="567"/>
        <w:contextualSpacing/>
        <w:jc w:val="both"/>
        <w:rPr>
          <w:rFonts w:ascii="Times New Roman" w:eastAsiaTheme="minorEastAsia" w:hAnsi="Times New Roman" w:cs="Times New Roman"/>
          <w:lang w:val="kk-KZ"/>
        </w:rPr>
      </w:pPr>
    </w:p>
    <w:p w14:paraId="184AB144" w14:textId="5B725F63" w:rsidR="00535C57" w:rsidRPr="003F48CD" w:rsidRDefault="003F48CD" w:rsidP="00535C57">
      <w:pPr>
        <w:tabs>
          <w:tab w:val="left" w:pos="1140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тр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fN=fmg                                   (4.2)</m:t>
          </m:r>
        </m:oMath>
      </m:oMathPara>
    </w:p>
    <w:p w14:paraId="668B0241" w14:textId="77777777" w:rsidR="003F48CD" w:rsidRDefault="003F48CD" w:rsidP="00535C5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p w14:paraId="0804EA19" w14:textId="5454F2C5" w:rsidR="003F48CD" w:rsidRPr="003F48CD" w:rsidRDefault="003F48CD" w:rsidP="003F48CD">
      <w:pPr>
        <w:tabs>
          <w:tab w:val="left" w:pos="1140"/>
        </w:tabs>
        <w:ind w:firstLine="426"/>
        <w:contextualSpacing/>
        <w:jc w:val="both"/>
        <w:rPr>
          <w:rFonts w:ascii="Times New Roman" w:hAnsi="Times New Roman" w:cs="Times New Roman"/>
        </w:rPr>
      </w:pPr>
      <w:r w:rsidRPr="003F48CD"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  <w:lang w:val="en-US"/>
        </w:rPr>
        <w:t>f</w:t>
      </w:r>
      <w:r w:rsidRPr="003F48CD">
        <w:rPr>
          <w:rFonts w:ascii="Times New Roman" w:hAnsi="Times New Roman" w:cs="Times New Roman"/>
        </w:rPr>
        <w:t xml:space="preserve"> − коэффициент трения скольжения частицы по диску. </w:t>
      </w:r>
    </w:p>
    <w:p w14:paraId="319372EF" w14:textId="72D847A8" w:rsidR="003F48CD" w:rsidRDefault="003F48CD" w:rsidP="00535C5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3F48CD">
        <w:rPr>
          <w:rFonts w:ascii="Times New Roman" w:hAnsi="Times New Roman" w:cs="Times New Roman"/>
        </w:rPr>
        <w:t>Поскольку движение рассматривается в плоскости диска, то пер пендикулярные к ней сила тяжести и нормальная реакция не оказывают влияния на характер движения. Тогда для абсолютного движения вдоль плоскости тарелки уравнение движения примет вид</w:t>
      </w:r>
    </w:p>
    <w:p w14:paraId="6E41F65C" w14:textId="77777777" w:rsidR="00CE0431" w:rsidRPr="00724423" w:rsidRDefault="00CE0431" w:rsidP="00535C5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14:paraId="40C89781" w14:textId="5CA014CA" w:rsidR="003F48CD" w:rsidRPr="003F48CD" w:rsidRDefault="003F48CD" w:rsidP="00535C57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тр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 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4.3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788E0EFC" w14:textId="77777777" w:rsidR="003F48CD" w:rsidRDefault="003F48CD" w:rsidP="00535C5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  <w:lang w:val="en-US"/>
        </w:rPr>
      </w:pPr>
    </w:p>
    <w:p w14:paraId="2669E535" w14:textId="5A1922A4" w:rsidR="003F48CD" w:rsidRPr="00810C17" w:rsidRDefault="003F48CD" w:rsidP="00535C5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3F48CD">
        <w:rPr>
          <w:rFonts w:ascii="Times New Roman" w:hAnsi="Times New Roman" w:cs="Times New Roman"/>
          <w:iCs/>
        </w:rPr>
        <w:t xml:space="preserve">Движение частицы по диску рассмотрим как сложное, состоящее из переносного и относительного. За определяющий параметр примем полную скорость движения частицы по диску υ. В системе координат 0yr (рис. 1.4) переносное движение − это поворот системы коор </w:t>
      </w:r>
      <w:r w:rsidRPr="003F48CD">
        <w:rPr>
          <w:rFonts w:ascii="Times New Roman" w:hAnsi="Times New Roman" w:cs="Times New Roman"/>
          <w:iCs/>
        </w:rPr>
        <w:lastRenderedPageBreak/>
        <w:t>динат на угол ϕ со скоростью υϕ, а относительное − движение частицы вдоль оси r со скоростью υr.</w:t>
      </w:r>
    </w:p>
    <w:p w14:paraId="7D32461A" w14:textId="4F70D42B" w:rsidR="003F48CD" w:rsidRDefault="003F48CD" w:rsidP="003F48CD">
      <w:pPr>
        <w:tabs>
          <w:tab w:val="left" w:pos="1140"/>
        </w:tabs>
        <w:ind w:firstLine="709"/>
        <w:contextualSpacing/>
        <w:jc w:val="center"/>
        <w:rPr>
          <w:rFonts w:ascii="Times New Roman" w:hAnsi="Times New Roman" w:cs="Times New Roman"/>
          <w:iCs/>
          <w:lang w:val="en-US"/>
        </w:rPr>
      </w:pPr>
      <w:r>
        <w:rPr>
          <w:noProof/>
        </w:rPr>
        <w:drawing>
          <wp:inline distT="0" distB="0" distL="0" distR="0" wp14:anchorId="36886291" wp14:editId="293A3290">
            <wp:extent cx="3200000" cy="2828571"/>
            <wp:effectExtent l="0" t="0" r="635" b="0"/>
            <wp:docPr id="751316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167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2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F512E" w14:textId="5AD2294D" w:rsidR="003F48CD" w:rsidRPr="00724423" w:rsidRDefault="003F48CD" w:rsidP="003F48CD">
      <w:pPr>
        <w:tabs>
          <w:tab w:val="left" w:pos="1140"/>
        </w:tabs>
        <w:ind w:firstLine="709"/>
        <w:contextualSpacing/>
        <w:jc w:val="center"/>
        <w:rPr>
          <w:rFonts w:ascii="Times New Roman" w:hAnsi="Times New Roman" w:cs="Times New Roman"/>
          <w:iCs/>
        </w:rPr>
      </w:pPr>
      <w:r w:rsidRPr="003F48CD">
        <w:rPr>
          <w:rFonts w:ascii="Times New Roman" w:hAnsi="Times New Roman" w:cs="Times New Roman"/>
          <w:iCs/>
        </w:rPr>
        <w:t>Рис. 1.4. Расчетная схема движения частицы по вращающемуся диску</w:t>
      </w:r>
    </w:p>
    <w:p w14:paraId="5684AE0A" w14:textId="77777777" w:rsidR="003F48CD" w:rsidRPr="00724423" w:rsidRDefault="003F48CD" w:rsidP="003F48CD">
      <w:pPr>
        <w:tabs>
          <w:tab w:val="left" w:pos="1140"/>
        </w:tabs>
        <w:ind w:firstLine="709"/>
        <w:contextualSpacing/>
        <w:jc w:val="center"/>
        <w:rPr>
          <w:rFonts w:ascii="Times New Roman" w:hAnsi="Times New Roman" w:cs="Times New Roman"/>
          <w:iCs/>
        </w:rPr>
      </w:pPr>
    </w:p>
    <w:p w14:paraId="4786AB9A" w14:textId="73950AD9" w:rsidR="003F48CD" w:rsidRDefault="003F48CD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3F48CD">
        <w:rPr>
          <w:rFonts w:ascii="Times New Roman" w:hAnsi="Times New Roman" w:cs="Times New Roman"/>
          <w:iCs/>
        </w:rPr>
        <w:t>Абсолютное ускорение частицы в векторной форме находится по формуле</w:t>
      </w:r>
    </w:p>
    <w:p w14:paraId="37CE2889" w14:textId="77777777" w:rsidR="00CE0431" w:rsidRPr="00724423" w:rsidRDefault="00CE0431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</w:p>
    <w:p w14:paraId="4653B108" w14:textId="7AF5D36D" w:rsidR="003F48CD" w:rsidRPr="00CE0431" w:rsidRDefault="003F48CD" w:rsidP="003F48CD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sup>
              </m:sSubSup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(4.4)</m:t>
          </m:r>
        </m:oMath>
      </m:oMathPara>
    </w:p>
    <w:p w14:paraId="43BCFDA0" w14:textId="77777777" w:rsidR="00CE0431" w:rsidRPr="003F48CD" w:rsidRDefault="00CE0431" w:rsidP="003F48CD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0942769A" w14:textId="77777777" w:rsidR="003F48CD" w:rsidRPr="00724423" w:rsidRDefault="003F48CD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810C17">
        <w:rPr>
          <w:rFonts w:ascii="Times New Roman" w:hAnsi="Times New Roman" w:cs="Times New Roman"/>
          <w:iCs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sup>
            </m:sSubSup>
          </m:e>
        </m:acc>
      </m:oMath>
      <w:r w:rsidRPr="00810C17">
        <w:rPr>
          <w:rFonts w:ascii="Times New Roman" w:hAnsi="Times New Roman" w:cs="Times New Roman"/>
          <w:iCs/>
        </w:rPr>
        <w:t xml:space="preserve"> – переносное нормальное ускорение, м/с2; </w:t>
      </w:r>
    </w:p>
    <w:p w14:paraId="54C6B895" w14:textId="77777777" w:rsidR="003F48CD" w:rsidRPr="00810C17" w:rsidRDefault="00CE0431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τ</m:t>
                </m:r>
              </m:sup>
            </m:sSubSup>
          </m:e>
        </m:acc>
      </m:oMath>
      <w:r w:rsidR="003F48CD" w:rsidRPr="00810C17">
        <w:rPr>
          <w:rFonts w:ascii="Times New Roman" w:hAnsi="Times New Roman" w:cs="Times New Roman"/>
          <w:iCs/>
        </w:rPr>
        <w:t xml:space="preserve"> – переносное касательное ускорение, м/с2; </w:t>
      </w:r>
    </w:p>
    <w:p w14:paraId="5F2B40A8" w14:textId="77777777" w:rsidR="003F48CD" w:rsidRPr="00724423" w:rsidRDefault="00CE0431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sub>
            </m:sSub>
          </m:e>
        </m:acc>
      </m:oMath>
      <w:r w:rsidR="003F48CD" w:rsidRPr="00810C17">
        <w:rPr>
          <w:rFonts w:ascii="Times New Roman" w:hAnsi="Times New Roman" w:cs="Times New Roman"/>
          <w:iCs/>
        </w:rPr>
        <w:t xml:space="preserve"> – относительное ускорение, м/с2;</w:t>
      </w:r>
    </w:p>
    <w:p w14:paraId="3E837B59" w14:textId="77777777" w:rsidR="003F48CD" w:rsidRPr="00724423" w:rsidRDefault="00CE0431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acc>
      </m:oMath>
      <w:r w:rsidR="003F48CD" w:rsidRPr="00810C17">
        <w:rPr>
          <w:rFonts w:ascii="Times New Roman" w:hAnsi="Times New Roman" w:cs="Times New Roman"/>
          <w:iCs/>
        </w:rPr>
        <w:t xml:space="preserve"> – кориолисово ускорение, м/с2. </w:t>
      </w:r>
    </w:p>
    <w:p w14:paraId="70AAA2BB" w14:textId="445AB4DF" w:rsidR="003F48CD" w:rsidRDefault="003F48CD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810C17">
        <w:rPr>
          <w:rFonts w:ascii="Times New Roman" w:hAnsi="Times New Roman" w:cs="Times New Roman"/>
          <w:iCs/>
        </w:rPr>
        <w:t>Ускорения, входящие в уравнение (</w:t>
      </w:r>
      <w:r w:rsidR="00810C17" w:rsidRPr="00810C17">
        <w:rPr>
          <w:rFonts w:ascii="Times New Roman" w:hAnsi="Times New Roman" w:cs="Times New Roman"/>
          <w:iCs/>
        </w:rPr>
        <w:t>4</w:t>
      </w:r>
      <w:r w:rsidRPr="00810C17">
        <w:rPr>
          <w:rFonts w:ascii="Times New Roman" w:hAnsi="Times New Roman" w:cs="Times New Roman"/>
          <w:iCs/>
        </w:rPr>
        <w:t xml:space="preserve">.4), рассчитываются по </w:t>
      </w:r>
      <w:proofErr w:type="spellStart"/>
      <w:r w:rsidRPr="00810C17">
        <w:rPr>
          <w:rFonts w:ascii="Times New Roman" w:hAnsi="Times New Roman" w:cs="Times New Roman"/>
          <w:iCs/>
        </w:rPr>
        <w:t>сле</w:t>
      </w:r>
      <w:proofErr w:type="spellEnd"/>
      <w:r w:rsidRPr="00810C17">
        <w:rPr>
          <w:rFonts w:ascii="Times New Roman" w:hAnsi="Times New Roman" w:cs="Times New Roman"/>
          <w:iCs/>
        </w:rPr>
        <w:t xml:space="preserve"> дующим формулам:</w:t>
      </w:r>
    </w:p>
    <w:p w14:paraId="66D9AF5E" w14:textId="77777777" w:rsidR="00CE0431" w:rsidRPr="00810C17" w:rsidRDefault="00CE0431" w:rsidP="003F48CD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</w:p>
    <w:p w14:paraId="40320A25" w14:textId="1FB44CDD" w:rsidR="003F48CD" w:rsidRPr="00810C17" w:rsidRDefault="00810C17" w:rsidP="003F48CD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=r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dφ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τ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=r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φ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,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,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dφ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4.5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</m:oMath>
      </m:oMathPara>
    </w:p>
    <w:p w14:paraId="30335003" w14:textId="77777777" w:rsidR="00810C17" w:rsidRDefault="00810C17" w:rsidP="003F48CD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5DD303B6" w14:textId="03424592" w:rsidR="00724423" w:rsidRDefault="00724423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  <w:lang w:val="kk-KZ"/>
        </w:rPr>
      </w:pPr>
      <w:r w:rsidRPr="00535C57">
        <w:rPr>
          <w:rFonts w:ascii="Times New Roman" w:hAnsi="Times New Roman" w:cs="Times New Roman"/>
        </w:rPr>
        <w:t xml:space="preserve">4.2 </w:t>
      </w:r>
      <w:r w:rsidRPr="00724423">
        <w:rPr>
          <w:rFonts w:ascii="Times New Roman" w:hAnsi="Times New Roman" w:cs="Times New Roman"/>
          <w:b/>
          <w:bCs/>
        </w:rPr>
        <w:t>Математические модели: уравнения движения, законы сохранения и приближения</w:t>
      </w:r>
    </w:p>
    <w:p w14:paraId="6E33C5A4" w14:textId="4829999E" w:rsidR="00810C17" w:rsidRDefault="00810C17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810C17">
        <w:rPr>
          <w:rFonts w:ascii="Times New Roman" w:hAnsi="Times New Roman" w:cs="Times New Roman"/>
          <w:iCs/>
        </w:rPr>
        <w:t>С учетом выражения для ускорения (4.4) уравнение движения (4.3) в проекциях на оси координат r и y примет вид</w:t>
      </w:r>
    </w:p>
    <w:p w14:paraId="7EF70E86" w14:textId="77777777" w:rsidR="00CE0431" w:rsidRPr="00724423" w:rsidRDefault="00CE0431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</w:p>
    <w:p w14:paraId="7357F67E" w14:textId="5937FEEE" w:rsidR="00810C17" w:rsidRPr="00177F26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тр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γ;</m:t>
                      </m:r>
                    </m:e>
                  </m:func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+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тр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γ,</m:t>
                      </m:r>
                    </m:e>
                  </m:func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(4.6)</m:t>
          </m:r>
        </m:oMath>
      </m:oMathPara>
    </w:p>
    <w:p w14:paraId="1AB5822A" w14:textId="77777777" w:rsidR="00177F26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  <w:lang w:val="en-US"/>
        </w:rPr>
      </w:pPr>
    </w:p>
    <w:p w14:paraId="08B1C5D3" w14:textId="26FEDEC9" w:rsidR="00177F26" w:rsidRPr="00177F26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177F26">
        <w:rPr>
          <w:rFonts w:ascii="Times New Roman" w:hAnsi="Times New Roman" w:cs="Times New Roman"/>
          <w:iCs/>
        </w:rPr>
        <w:t xml:space="preserve">где γ − угол между вектором силы трения и осью r. </w:t>
      </w:r>
    </w:p>
    <w:p w14:paraId="15737626" w14:textId="188385D4" w:rsidR="00177F26" w:rsidRPr="00724423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177F26">
        <w:rPr>
          <w:rFonts w:ascii="Times New Roman" w:hAnsi="Times New Roman" w:cs="Times New Roman"/>
          <w:iCs/>
        </w:rPr>
        <w:t>Направление вектора силы трения совпадает с вектором разности скоростей движения точки диска и частицы:</w:t>
      </w:r>
    </w:p>
    <w:p w14:paraId="3B82477C" w14:textId="75E2679C" w:rsidR="00177F26" w:rsidRPr="00177F26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отн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д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ϑ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(4.7)</m:t>
          </m:r>
        </m:oMath>
      </m:oMathPara>
    </w:p>
    <w:p w14:paraId="220C62E4" w14:textId="59921F06" w:rsidR="00177F26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177F26">
        <w:rPr>
          <w:rFonts w:ascii="Times New Roman" w:hAnsi="Times New Roman" w:cs="Times New Roman"/>
        </w:rPr>
        <w:lastRenderedPageBreak/>
        <w:t xml:space="preserve">где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ϑ</m:t>
            </m:r>
          </m:e>
        </m:acc>
      </m:oMath>
      <w:r w:rsidRPr="00177F26">
        <w:rPr>
          <w:rFonts w:ascii="Times New Roman" w:hAnsi="Times New Roman" w:cs="Times New Roman"/>
        </w:rPr>
        <w:t xml:space="preserve"> − вектор полной скорости частицы, м/с; </w:t>
      </w:r>
    </w:p>
    <w:p w14:paraId="67F52A44" w14:textId="66F5197F" w:rsidR="00177F26" w:rsidRDefault="00CE0431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sub>
            </m:sSub>
          </m:e>
        </m:acc>
      </m:oMath>
      <w:r w:rsidR="00177F26" w:rsidRPr="00177F26">
        <w:rPr>
          <w:rFonts w:ascii="Times New Roman" w:hAnsi="Times New Roman" w:cs="Times New Roman"/>
        </w:rPr>
        <w:t xml:space="preserve"> − вектор скорости точки диска, совпадающей с частицей, м/с:</w:t>
      </w:r>
    </w:p>
    <w:p w14:paraId="63E00FDA" w14:textId="77777777" w:rsidR="00CE0431" w:rsidRDefault="00CE0431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14:paraId="4E5D91AB" w14:textId="1CA06F72" w:rsidR="00177F26" w:rsidRPr="00177F26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д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=ω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                                                          (4.8)</m:t>
          </m:r>
        </m:oMath>
      </m:oMathPara>
    </w:p>
    <w:p w14:paraId="225D94AB" w14:textId="57C22F4B" w:rsidR="00177F26" w:rsidRPr="00724423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177F26">
        <w:rPr>
          <w:rFonts w:ascii="Times New Roman" w:hAnsi="Times New Roman" w:cs="Times New Roman"/>
          <w:iCs/>
        </w:rPr>
        <w:t>где ω − угловая скорость диска, рад/с; r − текущий радиус, м.</w:t>
      </w:r>
    </w:p>
    <w:p w14:paraId="74B66A6D" w14:textId="3FF336C1" w:rsidR="00177F26" w:rsidRPr="00724423" w:rsidRDefault="00177F26" w:rsidP="00810C17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177F26">
        <w:rPr>
          <w:rFonts w:ascii="Times New Roman" w:hAnsi="Times New Roman" w:cs="Times New Roman"/>
          <w:iCs/>
        </w:rPr>
        <w:t>Тригонометрические функции угла γ определяются из расчетной схемы (см. рис. 1.4 на с. 17) по следующим формулам:</w:t>
      </w:r>
    </w:p>
    <w:p w14:paraId="01A1034E" w14:textId="0DEFC1AB" w:rsidR="00177F26" w:rsidRDefault="00177F26" w:rsidP="00177F26">
      <w:pPr>
        <w:tabs>
          <w:tab w:val="left" w:pos="1140"/>
        </w:tabs>
        <w:ind w:firstLine="709"/>
        <w:contextualSpacing/>
        <w:jc w:val="center"/>
        <w:rPr>
          <w:rFonts w:ascii="Times New Roman" w:hAnsi="Times New Roman" w:cs="Times New Roman"/>
          <w:iCs/>
          <w:lang w:val="en-US"/>
        </w:rPr>
      </w:pPr>
      <w:r>
        <w:rPr>
          <w:noProof/>
        </w:rPr>
        <w:drawing>
          <wp:inline distT="0" distB="0" distL="0" distR="0" wp14:anchorId="41E57C83" wp14:editId="4E4EC49D">
            <wp:extent cx="3951514" cy="2532799"/>
            <wp:effectExtent l="0" t="0" r="0" b="1270"/>
            <wp:docPr id="12322162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162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460" cy="253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44F8" w14:textId="77777777" w:rsidR="00724423" w:rsidRDefault="00724423" w:rsidP="00177F2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  <w:lang w:val="kk-KZ"/>
        </w:rPr>
      </w:pPr>
    </w:p>
    <w:p w14:paraId="52EDB2AE" w14:textId="77777777" w:rsidR="00724423" w:rsidRPr="00724423" w:rsidRDefault="00724423" w:rsidP="00724423">
      <w:pPr>
        <w:tabs>
          <w:tab w:val="left" w:pos="1140"/>
        </w:tabs>
        <w:contextualSpacing/>
        <w:rPr>
          <w:rFonts w:ascii="Times New Roman" w:hAnsi="Times New Roman" w:cs="Times New Roman"/>
          <w:b/>
          <w:bCs/>
        </w:rPr>
      </w:pPr>
      <w:r w:rsidRPr="00535C57">
        <w:rPr>
          <w:rFonts w:ascii="Times New Roman" w:hAnsi="Times New Roman" w:cs="Times New Roman"/>
        </w:rPr>
        <w:t xml:space="preserve">4.3 </w:t>
      </w:r>
      <w:r w:rsidRPr="00724423">
        <w:rPr>
          <w:rFonts w:ascii="Times New Roman" w:hAnsi="Times New Roman" w:cs="Times New Roman"/>
          <w:b/>
          <w:bCs/>
        </w:rPr>
        <w:t>Методы анализа и компьютерное моделирование механических систем.</w:t>
      </w:r>
    </w:p>
    <w:p w14:paraId="488FE269" w14:textId="77777777" w:rsidR="00724423" w:rsidRPr="00724423" w:rsidRDefault="00724423" w:rsidP="00177F2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</w:p>
    <w:p w14:paraId="3C0BC8BB" w14:textId="75E0B515" w:rsidR="00177F26" w:rsidRPr="00724423" w:rsidRDefault="00177F26" w:rsidP="00177F2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177F26">
        <w:rPr>
          <w:rFonts w:ascii="Times New Roman" w:hAnsi="Times New Roman" w:cs="Times New Roman"/>
          <w:iCs/>
        </w:rPr>
        <w:t>С учетом вышеизложенного уравнения движения (1.6) преобра- зуются к виду</w:t>
      </w:r>
    </w:p>
    <w:p w14:paraId="6CBA003B" w14:textId="1261B38C" w:rsidR="00177F26" w:rsidRDefault="00177F26" w:rsidP="00177F26">
      <w:pPr>
        <w:tabs>
          <w:tab w:val="left" w:pos="1140"/>
        </w:tabs>
        <w:ind w:firstLine="709"/>
        <w:contextualSpacing/>
        <w:jc w:val="center"/>
        <w:rPr>
          <w:rFonts w:ascii="Times New Roman" w:hAnsi="Times New Roman" w:cs="Times New Roman"/>
          <w:iCs/>
          <w:lang w:val="en-US"/>
        </w:rPr>
      </w:pPr>
      <w:r>
        <w:rPr>
          <w:noProof/>
        </w:rPr>
        <w:drawing>
          <wp:inline distT="0" distB="0" distL="0" distR="0" wp14:anchorId="4931B6C2" wp14:editId="6D133995">
            <wp:extent cx="4169229" cy="2337420"/>
            <wp:effectExtent l="0" t="0" r="3175" b="6350"/>
            <wp:docPr id="844750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509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2016" cy="235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9152" w14:textId="1353CCD1" w:rsidR="00177F26" w:rsidRPr="005724B6" w:rsidRDefault="005724B6" w:rsidP="00177F2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5724B6">
        <w:rPr>
          <w:rFonts w:ascii="Times New Roman" w:hAnsi="Times New Roman" w:cs="Times New Roman"/>
          <w:iCs/>
        </w:rPr>
        <w:t>После сокращения на массу и переноса всех производных первого порядка в правую часть получаем систему уравнений движения частицы по вращающемуся диску:</w:t>
      </w:r>
    </w:p>
    <w:p w14:paraId="44C5D57B" w14:textId="602D88F3" w:rsidR="005724B6" w:rsidRDefault="005724B6" w:rsidP="005724B6">
      <w:pPr>
        <w:tabs>
          <w:tab w:val="left" w:pos="1140"/>
        </w:tabs>
        <w:ind w:firstLine="709"/>
        <w:contextualSpacing/>
        <w:jc w:val="center"/>
        <w:rPr>
          <w:rFonts w:ascii="Times New Roman" w:hAnsi="Times New Roman" w:cs="Times New Roman"/>
          <w:iCs/>
          <w:lang w:val="en-US"/>
        </w:rPr>
      </w:pPr>
      <w:r>
        <w:rPr>
          <w:noProof/>
        </w:rPr>
        <w:lastRenderedPageBreak/>
        <w:drawing>
          <wp:inline distT="0" distB="0" distL="0" distR="0" wp14:anchorId="4DEBBF86" wp14:editId="549832A6">
            <wp:extent cx="4033158" cy="2578723"/>
            <wp:effectExtent l="0" t="0" r="5715" b="0"/>
            <wp:docPr id="1108446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466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0268" cy="258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03541" w14:textId="77777777" w:rsid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  <w:lang w:val="en-US"/>
        </w:rPr>
      </w:pPr>
    </w:p>
    <w:p w14:paraId="22B05194" w14:textId="77777777" w:rsid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  <w:lang w:val="en-US"/>
        </w:rPr>
      </w:pPr>
    </w:p>
    <w:p w14:paraId="7D6F9AA8" w14:textId="77777777" w:rsid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  <w:lang w:val="en-US"/>
        </w:rPr>
      </w:pPr>
    </w:p>
    <w:p w14:paraId="66B837CA" w14:textId="552A687A" w:rsidR="005724B6" w:rsidRP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iCs/>
        </w:rPr>
      </w:pPr>
      <w:r w:rsidRPr="005724B6">
        <w:rPr>
          <w:rFonts w:ascii="Times New Roman" w:hAnsi="Times New Roman" w:cs="Times New Roman"/>
          <w:iCs/>
        </w:rPr>
        <w:t>Решая полученную систему (численным методом при помощи ЭВМ), определяем составляющие полной скорости υr и υϕ движения частицы по диску. По найденным составляющим вычисляем полную скорость движения частицы по диску:</w:t>
      </w:r>
    </w:p>
    <w:p w14:paraId="17989F77" w14:textId="55389F4B" w:rsidR="005724B6" w:rsidRP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ϑ=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</m:t>
          </m:r>
        </m:oMath>
      </m:oMathPara>
    </w:p>
    <w:p w14:paraId="7FB9BE93" w14:textId="23C8EEF1" w:rsidR="005724B6" w:rsidRPr="00724423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5724B6">
        <w:rPr>
          <w:rFonts w:ascii="Times New Roman" w:hAnsi="Times New Roman" w:cs="Times New Roman"/>
        </w:rPr>
        <w:t>В заключение определяем угол отрыва β частицы с диска, исходя из расчетной схемы (см. рис. 1.4 на с. 17):</w:t>
      </w:r>
    </w:p>
    <w:p w14:paraId="5D577812" w14:textId="5C1C52B2" w:rsidR="005724B6" w:rsidRP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ϑ</m:t>
              </m:r>
            </m:den>
          </m:f>
        </m:oMath>
      </m:oMathPara>
    </w:p>
    <w:p w14:paraId="423F92D7" w14:textId="77777777" w:rsid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DBE0E16" w14:textId="77777777" w:rsid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19843506" w14:textId="26A3FDCF" w:rsid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lang w:val="kk-KZ"/>
        </w:rPr>
      </w:pPr>
      <w:r>
        <w:rPr>
          <w:rFonts w:ascii="Times New Roman" w:eastAsiaTheme="minorEastAsia" w:hAnsi="Times New Roman" w:cs="Times New Roman"/>
          <w:b/>
          <w:bCs/>
          <w:i/>
          <w:iCs/>
          <w:lang w:val="kk-KZ"/>
        </w:rPr>
        <w:t>Контрольные вопросы:</w:t>
      </w:r>
    </w:p>
    <w:p w14:paraId="253360E1" w14:textId="77777777" w:rsidR="005724B6" w:rsidRDefault="005724B6" w:rsidP="005724B6">
      <w:pPr>
        <w:tabs>
          <w:tab w:val="left" w:pos="1140"/>
        </w:tabs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</w:p>
    <w:p w14:paraId="37994A27" w14:textId="30E78FC9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Что понимается под моделированием механических процессов?</w:t>
      </w:r>
    </w:p>
    <w:p w14:paraId="0A1C61AE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Какова цель математического моделирования в механике?</w:t>
      </w:r>
    </w:p>
    <w:p w14:paraId="6A54076C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Какие основные виды моделей применяются для описания механических систем?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51A24627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Какие уравнения лежат в основе математического моделирования механических процессов?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6BDBCD6D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Как используются законы сохранения (энергии, импульса) при моделировании?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6E166CE8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Какие приближения применяются для упрощения математических моделей?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5278F99E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В чем преимущества компьютерного моделирования механических процессов?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743EB80F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Какие этапы включает построение и проверка математической модели?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2CE44EC2" w14:textId="77777777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Как моделирование помогает в оптимизации работы технических систем?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26FB15C0" w14:textId="7200FBC1" w:rsidR="005724B6" w:rsidRPr="005724B6" w:rsidRDefault="005724B6" w:rsidP="005724B6">
      <w:pPr>
        <w:pStyle w:val="a7"/>
        <w:numPr>
          <w:ilvl w:val="0"/>
          <w:numId w:val="2"/>
        </w:numPr>
        <w:tabs>
          <w:tab w:val="left" w:pos="1140"/>
        </w:tabs>
        <w:jc w:val="both"/>
        <w:rPr>
          <w:rFonts w:ascii="Times New Roman" w:eastAsiaTheme="minorEastAsia" w:hAnsi="Times New Roman" w:cs="Times New Roman"/>
        </w:rPr>
      </w:pPr>
      <w:r w:rsidRPr="005724B6">
        <w:rPr>
          <w:rFonts w:ascii="Times New Roman" w:eastAsiaTheme="minorEastAsia" w:hAnsi="Times New Roman" w:cs="Times New Roman"/>
        </w:rPr>
        <w:t>Приведите примеры применения моделирования механических процессов в инженерной практике.</w:t>
      </w:r>
    </w:p>
    <w:sectPr w:rsidR="005724B6" w:rsidRPr="005724B6" w:rsidSect="00535C5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839E2"/>
    <w:multiLevelType w:val="hybridMultilevel"/>
    <w:tmpl w:val="80E67AB6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3C019A6"/>
    <w:multiLevelType w:val="hybridMultilevel"/>
    <w:tmpl w:val="38C077D4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7"/>
    <w:rsid w:val="00177F26"/>
    <w:rsid w:val="003F48CD"/>
    <w:rsid w:val="00535C57"/>
    <w:rsid w:val="005724B6"/>
    <w:rsid w:val="00724423"/>
    <w:rsid w:val="007A4C8F"/>
    <w:rsid w:val="00810C17"/>
    <w:rsid w:val="00834F40"/>
    <w:rsid w:val="00851E3F"/>
    <w:rsid w:val="00BF3918"/>
    <w:rsid w:val="00C16FD4"/>
    <w:rsid w:val="00C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F092"/>
  <w15:chartTrackingRefBased/>
  <w15:docId w15:val="{6A74F794-12D6-442A-BEFD-CA957A55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C57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5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C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5C5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5C57"/>
    <w:rPr>
      <w:rFonts w:ascii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535C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Sabyrzhan</dc:creator>
  <cp:keywords/>
  <dc:description/>
  <cp:lastModifiedBy>Nurdaulet kalasov</cp:lastModifiedBy>
  <cp:revision>3</cp:revision>
  <dcterms:created xsi:type="dcterms:W3CDTF">2025-09-13T10:06:00Z</dcterms:created>
  <dcterms:modified xsi:type="dcterms:W3CDTF">2025-09-14T09:34:00Z</dcterms:modified>
</cp:coreProperties>
</file>